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Helvetica Neue" w:cs="Helvetica Neue" w:eastAsia="Helvetica Neue" w:hAnsi="Helvetica Neue"/>
          <w:u w:val="single"/>
        </w:rPr>
      </w:pPr>
      <w:r w:rsidDel="00000000" w:rsidR="00000000" w:rsidRPr="00000000">
        <w:rPr>
          <w:rFonts w:ascii="Helvetica Neue" w:cs="Helvetica Neue" w:eastAsia="Helvetica Neue" w:hAnsi="Helvetica Neue"/>
          <w:u w:val="single"/>
          <w:rtl w:val="0"/>
        </w:rPr>
        <w:t xml:space="preserve">Comunicato stampa</w:t>
      </w:r>
    </w:p>
    <w:p w:rsidR="00000000" w:rsidDel="00000000" w:rsidP="00000000" w:rsidRDefault="00000000" w:rsidRPr="00000000" w14:paraId="00000002">
      <w:pPr>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3">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AGRIFOOD FUTURE: NEL 2023 L'AGRICOLTURA 4.0 CRESCE DEL 19%, PER UN VALORE COMPLESSIVO DI 2,5 MILIARDI DI EURO</w:t>
      </w:r>
    </w:p>
    <w:p w:rsidR="00000000" w:rsidDel="00000000" w:rsidP="00000000" w:rsidRDefault="00000000" w:rsidRPr="00000000" w14:paraId="00000004">
      <w:pPr>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Il mercato delle soluzioni digitali per la tracciabilità registra un importante trend di crescita, con un incremento del 22% in Italia nel 2023</w:t>
      </w:r>
    </w:p>
    <w:p w:rsidR="00000000" w:rsidDel="00000000" w:rsidP="00000000" w:rsidRDefault="00000000" w:rsidRPr="00000000" w14:paraId="00000006">
      <w:pPr>
        <w:numPr>
          <w:ilvl w:val="0"/>
          <w:numId w:val="1"/>
        </w:numPr>
        <w:ind w:left="720" w:hanging="360"/>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Il carbon farming si conferma una pratica poco adottata in Italia, con solo il 22% delle aziende agricole che dichiara di conoscerlo e solo il 9% che lo adotta effettivamente</w:t>
      </w:r>
    </w:p>
    <w:p w:rsidR="00000000" w:rsidDel="00000000" w:rsidP="00000000" w:rsidRDefault="00000000" w:rsidRPr="00000000" w14:paraId="00000007">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jc w:val="both"/>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Salerno, 9 settembre 2024 </w:t>
      </w:r>
      <w:r w:rsidDel="00000000" w:rsidR="00000000" w:rsidRPr="00000000">
        <w:rPr>
          <w:rFonts w:ascii="Helvetica Neue" w:cs="Helvetica Neue" w:eastAsia="Helvetica Neue" w:hAnsi="Helvetica Neue"/>
          <w:rtl w:val="0"/>
        </w:rPr>
        <w:t xml:space="preserve">- Nel 2023, il mercato dell'Agricoltura 4.0 in Italia ha raggiunto un valore di 2,5 miliardi di euro, segnando un incremento del 19% rispetto all'anno precedente. Nonostante la crescita inferiore rispetto al periodo 2021-2022 (+31%), il settore continua a mostrare un interesse vivace per le soluzioni digitali, con un aumento delle soluzioni innovative disponibili sul mercato (+10%) e dei provider tecnologici (+13%).</w:t>
      </w:r>
    </w:p>
    <w:p w:rsidR="00000000" w:rsidDel="00000000" w:rsidP="00000000" w:rsidRDefault="00000000" w:rsidRPr="00000000" w14:paraId="00000009">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 quanto emerge da una ricerca dell’Osservatorio Smart AgriFood della School of Management del Politecnico di Milano e del Laboratorio RISE (Research &amp; Innovation for Smart Enterprises) dell’Università degli Studi di Brescia, presentata stamattina nel corso della seconda giornata di </w:t>
      </w:r>
      <w:r w:rsidDel="00000000" w:rsidR="00000000" w:rsidRPr="00000000">
        <w:rPr>
          <w:rFonts w:ascii="Helvetica Neue" w:cs="Helvetica Neue" w:eastAsia="Helvetica Neue" w:hAnsi="Helvetica Neue"/>
          <w:b w:val="1"/>
          <w:rtl w:val="0"/>
        </w:rPr>
        <w:t xml:space="preserve">Agrifood Future 2024</w:t>
      </w:r>
      <w:r w:rsidDel="00000000" w:rsidR="00000000" w:rsidRPr="00000000">
        <w:rPr>
          <w:rFonts w:ascii="Helvetica Neue" w:cs="Helvetica Neue" w:eastAsia="Helvetica Neue" w:hAnsi="Helvetica Neue"/>
          <w:rtl w:val="0"/>
        </w:rPr>
        <w:t xml:space="preserve">, la manifestazione organizzata da Unioncamere e dalla Camera di Commercio di Salerno, che mira a consolidare il suo ruolo di riferimento nazionale per il settore agroalimentare.  </w:t>
      </w:r>
    </w:p>
    <w:p w:rsidR="00000000" w:rsidDel="00000000" w:rsidP="00000000" w:rsidRDefault="00000000" w:rsidRPr="00000000" w14:paraId="0000000B">
      <w:pPr>
        <w:spacing w:after="240" w:before="240" w:line="276.00000208074397"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 report dimostra che i processi basati sull’intelligenza artificiale guideranno la  trasformazione del settore agroalimentare. Rimane, tuttavia, centrale l’esigenza di fornire maggiore supporto alle piccole e medie imprese nei processi di transizione digitale. Le aziende agricole si stanno focalizzando su soluzioni di software necessarie per l'integrazione dei dati e la gestione efficiente delle risorse. </w:t>
      </w:r>
    </w:p>
    <w:p w:rsidR="00000000" w:rsidDel="00000000" w:rsidP="00000000" w:rsidRDefault="00000000" w:rsidRPr="00000000" w14:paraId="0000000C">
      <w:pPr>
        <w:spacing w:after="240" w:before="240" w:line="276.00000208074397"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i w:val="1"/>
          <w:rtl w:val="0"/>
        </w:rPr>
        <w:t xml:space="preserve">Il futuro dell'agricoltura italiana passa inevitabilmente attraverso l'integrazione di tecnologie avanzate e l’intelligenza artificiale</w:t>
      </w:r>
      <w:r w:rsidDel="00000000" w:rsidR="00000000" w:rsidRPr="00000000">
        <w:rPr>
          <w:rFonts w:ascii="Helvetica Neue" w:cs="Helvetica Neue" w:eastAsia="Helvetica Neue" w:hAnsi="Helvetica Neue"/>
          <w:rtl w:val="0"/>
        </w:rPr>
        <w:t xml:space="preserve">” dichiara il direttore scientifico dell’evento </w:t>
      </w:r>
      <w:r w:rsidDel="00000000" w:rsidR="00000000" w:rsidRPr="00000000">
        <w:rPr>
          <w:rFonts w:ascii="Helvetica Neue" w:cs="Helvetica Neue" w:eastAsia="Helvetica Neue" w:hAnsi="Helvetica Neue"/>
          <w:b w:val="1"/>
          <w:rtl w:val="0"/>
        </w:rPr>
        <w:t xml:space="preserve">Alex Giordano</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Questi strumenti non sono solo un'opportunità per aumentare la produttività, ma soprattutto per rendere le nostre pratiche agricole più sostenibili ed efficienti. Grazie all'AI, possiamo ottimizzare l'uso delle risorse naturali, ridurre gli sprechi e migliorare la gestione dei dati, garantendo una maggiore trasparenza lungo tutta la filiera agroalimentare. L'Italia ha tutte le potenzialità per guidare questa trasformazione, ma è essenziale fornire alle piccole e medie imprese il supporto necessario per adottare queste tecnologie e competere su scala globale. La combinazione di innovazione tecnologica e rispetto per l'ambiente può essere la chiave per un'agricoltura più resiliente e competitiva</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0D">
      <w:pPr>
        <w:spacing w:after="240" w:before="240" w:line="276.00000208074397"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 carbon farming - pratica agricola che mira a catturare e immagazzinare carbonio nel suolo per ridurre le emissioni di gas serra e preservare la biodiversità - resta limitata in Italia, con solo il 22% delle aziende agricole che dichiara di conoscerla e solo il 9% che lo adotta effettivamente.</w:t>
      </w:r>
    </w:p>
    <w:p w:rsidR="00000000" w:rsidDel="00000000" w:rsidP="00000000" w:rsidRDefault="00000000" w:rsidRPr="00000000" w14:paraId="0000000E">
      <w:pPr>
        <w:spacing w:after="240" w:before="240" w:line="276.00000208074397"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tracciabilità digitale si conferma uno strumento chiave per garantire trasparenza e sostenibilità lungo la filiera agroalimentare. Il mercato delle soluzioni digitali per la tracciabilità è in forte crescita, con un incremento del 22% nel 2023. Il report sottolinea come le tecnologie come l'Internet of Things, il Cloud e la Blockchain stiano trasformando il modo in cui i dati vengono raccolti e condivisi, migliorando la visibilità e la sicurezza delle informazioni lungo la supply chain.</w:t>
      </w:r>
    </w:p>
    <w:p w:rsidR="00000000" w:rsidDel="00000000" w:rsidP="00000000" w:rsidRDefault="00000000" w:rsidRPr="00000000" w14:paraId="0000000F">
      <w:pPr>
        <w:spacing w:after="240" w:before="240"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seconda edizione di Agrifood Future offre un’arena non ideologica per discutere soluzioni e idee innovative. L’appuntamento è a Salerno dall'8 al 10 settembre in diverse location della città, con un programma ricco di interventi, workshop e momenti di confronto su temi cruciali per il futuro dell'agroindustria.</w:t>
      </w:r>
    </w:p>
    <w:p w:rsidR="00000000" w:rsidDel="00000000" w:rsidP="00000000" w:rsidRDefault="00000000" w:rsidRPr="00000000" w14:paraId="00000010">
      <w:pPr>
        <w:spacing w:after="240" w:before="240"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spacing w:after="240" w:before="240" w:line="240" w:lineRule="auto"/>
        <w:rPr>
          <w:rFonts w:ascii="Helvetica Neue" w:cs="Helvetica Neue" w:eastAsia="Helvetica Neue" w:hAnsi="Helvetica Neue"/>
          <w:b w:val="1"/>
          <w:sz w:val="20"/>
          <w:szCs w:val="20"/>
          <w:u w:val="single"/>
        </w:rPr>
      </w:pPr>
      <w:r w:rsidDel="00000000" w:rsidR="00000000" w:rsidRPr="00000000">
        <w:rPr>
          <w:rFonts w:ascii="Helvetica Neue" w:cs="Helvetica Neue" w:eastAsia="Helvetica Neue" w:hAnsi="Helvetica Neue"/>
          <w:b w:val="1"/>
          <w:sz w:val="20"/>
          <w:szCs w:val="20"/>
          <w:u w:val="single"/>
          <w:rtl w:val="0"/>
        </w:rPr>
        <w:t xml:space="preserve">Contatti stampa</w:t>
      </w:r>
    </w:p>
    <w:p w:rsidR="00000000" w:rsidDel="00000000" w:rsidP="00000000" w:rsidRDefault="00000000" w:rsidRPr="00000000" w14:paraId="00000012">
      <w:pPr>
        <w:spacing w:after="240" w:before="240" w:line="240" w:lineRule="auto"/>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Comin &amp; Partners</w:t>
      </w:r>
    </w:p>
    <w:p w:rsidR="00000000" w:rsidDel="00000000" w:rsidP="00000000" w:rsidRDefault="00000000" w:rsidRPr="00000000" w14:paraId="00000013">
      <w:pPr>
        <w:spacing w:after="240" w:before="24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Eleonora Artese</w:t>
        <w:br w:type="textWrapping"/>
      </w:r>
      <w:r w:rsidDel="00000000" w:rsidR="00000000" w:rsidRPr="00000000">
        <w:rPr>
          <w:rFonts w:ascii="Helvetica Neue" w:cs="Helvetica Neue" w:eastAsia="Helvetica Neue" w:hAnsi="Helvetica Neue"/>
          <w:sz w:val="20"/>
          <w:szCs w:val="20"/>
          <w:rtl w:val="0"/>
        </w:rPr>
        <w:t xml:space="preserve">+39 338 659 6511</w:t>
        <w:br w:type="textWrapping"/>
        <w:t xml:space="preserve">eleonora.artese@cominandpartners.com</w:t>
      </w:r>
    </w:p>
    <w:p w:rsidR="00000000" w:rsidDel="00000000" w:rsidP="00000000" w:rsidRDefault="00000000" w:rsidRPr="00000000" w14:paraId="00000014">
      <w:pPr>
        <w:spacing w:after="240"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sz w:val="20"/>
          <w:szCs w:val="20"/>
          <w:rtl w:val="0"/>
        </w:rPr>
        <w:t xml:space="preserve">Francesco Bernardini</w:t>
        <w:br w:type="textWrapping"/>
      </w:r>
      <w:r w:rsidDel="00000000" w:rsidR="00000000" w:rsidRPr="00000000">
        <w:rPr>
          <w:rFonts w:ascii="Helvetica Neue" w:cs="Helvetica Neue" w:eastAsia="Helvetica Neue" w:hAnsi="Helvetica Neue"/>
          <w:sz w:val="20"/>
          <w:szCs w:val="20"/>
          <w:rtl w:val="0"/>
        </w:rPr>
        <w:t xml:space="preserve">+39 331 624 2686</w:t>
        <w:br w:type="textWrapping"/>
        <w:t xml:space="preserve">francesco.bernardini@cominandpartners.com</w:t>
      </w:r>
      <w:r w:rsidDel="00000000" w:rsidR="00000000" w:rsidRPr="00000000">
        <w:rPr>
          <w:rtl w:val="0"/>
        </w:rPr>
      </w:r>
    </w:p>
    <w:p w:rsidR="00000000" w:rsidDel="00000000" w:rsidP="00000000" w:rsidRDefault="00000000" w:rsidRPr="00000000" w14:paraId="00000015">
      <w:pPr>
        <w:spacing w:after="240" w:before="240" w:line="276.00000208074397" w:lineRule="auto"/>
        <w:jc w:val="both"/>
        <w:rPr>
          <w:rFonts w:ascii="Helvetica Neue" w:cs="Helvetica Neue" w:eastAsia="Helvetica Neue" w:hAnsi="Helvetica Neue"/>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tabs>
        <w:tab w:val="center" w:leader="none" w:pos="4513"/>
        <w:tab w:val="right" w:leader="none" w:pos="9026"/>
      </w:tabs>
      <w:spacing w:line="240" w:lineRule="auto"/>
      <w:rPr>
        <w:rFonts w:ascii="Calibri" w:cs="Calibri" w:eastAsia="Calibri" w:hAnsi="Calibri"/>
      </w:rPr>
    </w:pPr>
    <w:r w:rsidDel="00000000" w:rsidR="00000000" w:rsidRPr="00000000">
      <w:rPr>
        <w:rFonts w:ascii="Calibri" w:cs="Calibri" w:eastAsia="Calibri" w:hAnsi="Calibri"/>
      </w:rPr>
      <w:drawing>
        <wp:inline distB="0" distT="0" distL="0" distR="0">
          <wp:extent cx="1208855" cy="42080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08855" cy="420809"/>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tabs>
        <w:tab w:val="center" w:leader="none" w:pos="4513"/>
        <w:tab w:val="right" w:leader="none" w:pos="90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tabs>
        <w:tab w:val="center" w:leader="none" w:pos="4513"/>
        <w:tab w:val="right" w:leader="none" w:pos="9026"/>
      </w:tabs>
      <w:spacing w:line="240"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