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F8E" w:rsidRDefault="00AE1F8E" w:rsidP="00AA6163">
      <w:pPr>
        <w:tabs>
          <w:tab w:val="left" w:pos="9781"/>
        </w:tabs>
        <w:spacing w:line="240" w:lineRule="auto"/>
        <w:ind w:right="425"/>
        <w:jc w:val="center"/>
        <w:rPr>
          <w:rFonts w:ascii="Tahoma" w:eastAsia="Calibri" w:hAnsi="Tahoma" w:cs="Tahoma"/>
          <w:b/>
          <w:bCs/>
          <w:sz w:val="32"/>
          <w:szCs w:val="32"/>
        </w:rPr>
      </w:pPr>
    </w:p>
    <w:p w:rsidR="002A34A2" w:rsidRPr="00AF42B2" w:rsidRDefault="00AA6163" w:rsidP="00AA6163">
      <w:pPr>
        <w:tabs>
          <w:tab w:val="left" w:pos="9781"/>
        </w:tabs>
        <w:spacing w:line="240" w:lineRule="auto"/>
        <w:ind w:right="425"/>
        <w:jc w:val="center"/>
        <w:rPr>
          <w:rFonts w:ascii="Tahoma" w:eastAsia="Calibri" w:hAnsi="Tahoma" w:cs="Tahoma"/>
          <w:b/>
          <w:bCs/>
          <w:sz w:val="32"/>
          <w:szCs w:val="32"/>
        </w:rPr>
      </w:pPr>
      <w:r w:rsidRPr="00AF42B2">
        <w:rPr>
          <w:rFonts w:ascii="Tahoma" w:eastAsia="Calibri" w:hAnsi="Tahoma" w:cs="Tahoma"/>
          <w:b/>
          <w:bCs/>
          <w:sz w:val="32"/>
          <w:szCs w:val="32"/>
        </w:rPr>
        <w:t xml:space="preserve">DINAMICA IMPRENDITORIALE </w:t>
      </w:r>
      <w:r w:rsidR="002A34A2" w:rsidRPr="00AF42B2">
        <w:rPr>
          <w:rFonts w:ascii="Tahoma" w:eastAsia="Calibri" w:hAnsi="Tahoma" w:cs="Tahoma"/>
          <w:b/>
          <w:bCs/>
          <w:sz w:val="32"/>
          <w:szCs w:val="32"/>
        </w:rPr>
        <w:t>PROVINCIA DI SALERNO</w:t>
      </w:r>
    </w:p>
    <w:p w:rsidR="00AA6163" w:rsidRPr="00AF42B2" w:rsidRDefault="00AA314E" w:rsidP="00AA6163">
      <w:pPr>
        <w:tabs>
          <w:tab w:val="left" w:pos="9781"/>
        </w:tabs>
        <w:spacing w:line="240" w:lineRule="auto"/>
        <w:ind w:right="425"/>
        <w:jc w:val="center"/>
        <w:rPr>
          <w:rFonts w:ascii="Tahoma" w:eastAsia="Calibri" w:hAnsi="Tahoma" w:cs="Tahoma"/>
          <w:b/>
          <w:bCs/>
          <w:sz w:val="32"/>
          <w:szCs w:val="32"/>
        </w:rPr>
      </w:pPr>
      <w:r>
        <w:rPr>
          <w:rFonts w:ascii="Tahoma" w:eastAsia="Calibri" w:hAnsi="Tahoma" w:cs="Tahoma"/>
          <w:b/>
          <w:bCs/>
          <w:sz w:val="32"/>
          <w:szCs w:val="32"/>
        </w:rPr>
        <w:t>II trimestre 2025</w:t>
      </w:r>
    </w:p>
    <w:p w:rsidR="00123077" w:rsidRDefault="00123077" w:rsidP="00F21BA3">
      <w:pPr>
        <w:spacing w:line="360" w:lineRule="auto"/>
        <w:jc w:val="both"/>
        <w:rPr>
          <w:rFonts w:ascii="Tahoma" w:hAnsi="Tahoma" w:cs="Tahoma"/>
          <w:sz w:val="24"/>
        </w:rPr>
      </w:pPr>
    </w:p>
    <w:p w:rsidR="00AA314E" w:rsidRPr="00AA314E" w:rsidRDefault="00454D1F" w:rsidP="00AA314E">
      <w:pPr>
        <w:pStyle w:val="NormaleWeb"/>
        <w:shd w:val="clear" w:color="auto" w:fill="FFFFFF"/>
        <w:spacing w:before="0" w:beforeAutospacing="0" w:line="360" w:lineRule="auto"/>
        <w:jc w:val="both"/>
        <w:rPr>
          <w:rFonts w:ascii="Tahoma" w:eastAsiaTheme="minorHAnsi" w:hAnsi="Tahoma" w:cs="Tahoma"/>
          <w:szCs w:val="22"/>
          <w:lang w:eastAsia="en-US"/>
        </w:rPr>
      </w:pPr>
      <w:r>
        <w:rPr>
          <w:rFonts w:ascii="Tahoma" w:hAnsi="Tahoma" w:cs="Tahoma"/>
        </w:rPr>
        <w:t>I</w:t>
      </w:r>
      <w:r w:rsidRPr="00001B2A">
        <w:rPr>
          <w:rFonts w:ascii="Tahoma" w:hAnsi="Tahoma" w:cs="Tahoma"/>
        </w:rPr>
        <w:t>n provincia di Salerno</w:t>
      </w:r>
      <w:r w:rsidRPr="00AA314E">
        <w:rPr>
          <w:rFonts w:ascii="Tahoma" w:eastAsiaTheme="minorHAnsi" w:hAnsi="Tahoma" w:cs="Tahoma"/>
          <w:szCs w:val="22"/>
          <w:lang w:eastAsia="en-US"/>
        </w:rPr>
        <w:t xml:space="preserve"> </w:t>
      </w:r>
      <w:r>
        <w:rPr>
          <w:rFonts w:ascii="Tahoma" w:eastAsiaTheme="minorHAnsi" w:hAnsi="Tahoma" w:cs="Tahoma"/>
          <w:szCs w:val="22"/>
          <w:lang w:eastAsia="en-US"/>
        </w:rPr>
        <w:t>i</w:t>
      </w:r>
      <w:r w:rsidR="00AA314E" w:rsidRPr="00AA314E">
        <w:rPr>
          <w:rFonts w:ascii="Tahoma" w:eastAsiaTheme="minorHAnsi" w:hAnsi="Tahoma" w:cs="Tahoma"/>
          <w:szCs w:val="22"/>
          <w:lang w:eastAsia="en-US"/>
        </w:rPr>
        <w:t>l secondo trimestre del 2025 si chiude con un saldo positivo di +561 imprese tra iscrizioni e cessazioni.</w:t>
      </w:r>
    </w:p>
    <w:p w:rsidR="00AA314E" w:rsidRPr="00AA314E" w:rsidRDefault="00AA314E" w:rsidP="00AA314E">
      <w:pPr>
        <w:pStyle w:val="NormaleWeb"/>
        <w:shd w:val="clear" w:color="auto" w:fill="FFFFFF"/>
        <w:spacing w:before="0" w:beforeAutospacing="0" w:line="360" w:lineRule="auto"/>
        <w:jc w:val="both"/>
        <w:rPr>
          <w:rFonts w:ascii="Tahoma" w:eastAsiaTheme="minorHAnsi" w:hAnsi="Tahoma" w:cs="Tahoma"/>
          <w:szCs w:val="22"/>
          <w:lang w:eastAsia="en-US"/>
        </w:rPr>
      </w:pPr>
      <w:r w:rsidRPr="00AA314E">
        <w:rPr>
          <w:rFonts w:ascii="Tahoma" w:eastAsiaTheme="minorHAnsi" w:hAnsi="Tahoma" w:cs="Tahoma"/>
          <w:szCs w:val="22"/>
          <w:lang w:eastAsia="en-US"/>
        </w:rPr>
        <w:t>Tra aprile e giugno sono nate 1.522 nuove imprese, mentre 961 hanno cessato l’attività. Il tasso di crescita complessivo si attesta allo 0,47% a fronte del dato nazionale dello 0,56%</w:t>
      </w:r>
    </w:p>
    <w:p w:rsidR="00454D1F" w:rsidRDefault="00C47E3C" w:rsidP="00FA73A5">
      <w:pPr>
        <w:spacing w:line="360" w:lineRule="auto"/>
        <w:jc w:val="both"/>
        <w:rPr>
          <w:rFonts w:ascii="Tahoma" w:hAnsi="Tahoma" w:cs="Tahoma"/>
          <w:sz w:val="24"/>
        </w:rPr>
      </w:pPr>
      <w:r w:rsidRPr="00001B2A">
        <w:rPr>
          <w:rFonts w:ascii="Tahoma" w:hAnsi="Tahoma" w:cs="Tahoma"/>
          <w:sz w:val="24"/>
        </w:rPr>
        <w:t xml:space="preserve">Il saldo imprenditoriale del </w:t>
      </w:r>
      <w:r w:rsidR="00454D1F">
        <w:rPr>
          <w:rFonts w:ascii="Tahoma" w:hAnsi="Tahoma" w:cs="Tahoma"/>
          <w:sz w:val="24"/>
        </w:rPr>
        <w:t xml:space="preserve">II trimestre 2025 è determinato da una contemporanea contrazione </w:t>
      </w:r>
      <w:r w:rsidR="002A2B3D">
        <w:rPr>
          <w:rFonts w:ascii="Tahoma" w:hAnsi="Tahoma" w:cs="Tahoma"/>
          <w:sz w:val="24"/>
        </w:rPr>
        <w:t>n</w:t>
      </w:r>
      <w:r w:rsidR="00454D1F">
        <w:rPr>
          <w:rFonts w:ascii="Tahoma" w:hAnsi="Tahoma" w:cs="Tahoma"/>
          <w:sz w:val="24"/>
        </w:rPr>
        <w:t xml:space="preserve">elle iscrizioni (-3%) e </w:t>
      </w:r>
      <w:r w:rsidR="002A2B3D">
        <w:rPr>
          <w:rFonts w:ascii="Tahoma" w:hAnsi="Tahoma" w:cs="Tahoma"/>
          <w:sz w:val="24"/>
        </w:rPr>
        <w:t>n</w:t>
      </w:r>
      <w:r w:rsidR="00454D1F">
        <w:rPr>
          <w:rFonts w:ascii="Tahoma" w:hAnsi="Tahoma" w:cs="Tahoma"/>
          <w:sz w:val="24"/>
        </w:rPr>
        <w:t>elle cancellazioni di attività (-3,9%) rispetto al II trimestre 2024 che, tuttavia, risultando meno intensa sul fronte delle iscrizioni consente di conseguire un saldo positivo.</w:t>
      </w:r>
    </w:p>
    <w:p w:rsidR="002A2B3D" w:rsidRDefault="00454D1F" w:rsidP="00FA73A5">
      <w:pPr>
        <w:spacing w:line="360" w:lineRule="auto"/>
        <w:jc w:val="both"/>
        <w:rPr>
          <w:rFonts w:ascii="Tahoma" w:hAnsi="Tahoma" w:cs="Tahoma"/>
          <w:sz w:val="24"/>
        </w:rPr>
      </w:pPr>
      <w:r>
        <w:rPr>
          <w:rFonts w:ascii="Tahoma" w:hAnsi="Tahoma" w:cs="Tahoma"/>
          <w:sz w:val="24"/>
        </w:rPr>
        <w:t>I settori che registrazione una maggiore contrazione nelle cessazioni d’impresa</w:t>
      </w:r>
      <w:r w:rsidR="002A2B3D">
        <w:rPr>
          <w:rFonts w:ascii="Tahoma" w:hAnsi="Tahoma" w:cs="Tahoma"/>
          <w:sz w:val="24"/>
        </w:rPr>
        <w:t xml:space="preserve"> rispetto all’analogo periodo del 2024 </w:t>
      </w:r>
      <w:r>
        <w:rPr>
          <w:rFonts w:ascii="Tahoma" w:hAnsi="Tahoma" w:cs="Tahoma"/>
          <w:sz w:val="24"/>
        </w:rPr>
        <w:t xml:space="preserve">risultano il </w:t>
      </w:r>
      <w:r w:rsidR="002A2B3D">
        <w:rPr>
          <w:rFonts w:ascii="Tahoma" w:hAnsi="Tahoma" w:cs="Tahoma"/>
          <w:sz w:val="24"/>
        </w:rPr>
        <w:t>settore manifatturiero (-16,9%), il Turismo (-12,9%) e il Commercio (-11,7%).</w:t>
      </w:r>
    </w:p>
    <w:p w:rsidR="002A2B3D" w:rsidRPr="002A2B3D" w:rsidRDefault="00454D1F" w:rsidP="002A2B3D">
      <w:pPr>
        <w:spacing w:line="360" w:lineRule="auto"/>
        <w:jc w:val="both"/>
        <w:rPr>
          <w:rFonts w:ascii="Tahoma" w:hAnsi="Tahoma" w:cs="Tahoma"/>
          <w:sz w:val="24"/>
        </w:rPr>
      </w:pPr>
      <w:r w:rsidRPr="00CD4DDF">
        <w:drawing>
          <wp:inline distT="0" distB="0" distL="0" distR="0" wp14:anchorId="6992E605" wp14:editId="438F342B">
            <wp:extent cx="6120130" cy="284734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2847340"/>
                    </a:xfrm>
                    <a:prstGeom prst="rect">
                      <a:avLst/>
                    </a:prstGeom>
                  </pic:spPr>
                </pic:pic>
              </a:graphicData>
            </a:graphic>
          </wp:inline>
        </w:drawing>
      </w:r>
      <w:r w:rsidR="002A2B3D" w:rsidRPr="002A2B3D">
        <w:rPr>
          <w:rFonts w:ascii="CIDFont+F4" w:hAnsi="CIDFont+F4" w:cs="CIDFont+F4"/>
          <w:b/>
          <w:i/>
          <w:color w:val="365F92"/>
          <w:sz w:val="24"/>
          <w:szCs w:val="24"/>
        </w:rPr>
        <w:t xml:space="preserve">Fonte: Cruscotto </w:t>
      </w:r>
      <w:proofErr w:type="spellStart"/>
      <w:r w:rsidR="002A2B3D" w:rsidRPr="002A2B3D">
        <w:rPr>
          <w:rFonts w:ascii="CIDFont+F4" w:hAnsi="CIDFont+F4" w:cs="CIDFont+F4"/>
          <w:b/>
          <w:i/>
          <w:color w:val="365F92"/>
          <w:sz w:val="24"/>
          <w:szCs w:val="24"/>
        </w:rPr>
        <w:t>Infocamere</w:t>
      </w:r>
      <w:proofErr w:type="spellEnd"/>
      <w:r w:rsidR="002A2B3D" w:rsidRPr="002A2B3D">
        <w:rPr>
          <w:rFonts w:ascii="CIDFont+F4" w:hAnsi="CIDFont+F4" w:cs="CIDFont+F4"/>
          <w:b/>
          <w:i/>
          <w:color w:val="365F92"/>
          <w:sz w:val="24"/>
          <w:szCs w:val="24"/>
        </w:rPr>
        <w:t>/</w:t>
      </w:r>
      <w:proofErr w:type="spellStart"/>
      <w:r w:rsidR="002A2B3D" w:rsidRPr="002A2B3D">
        <w:rPr>
          <w:rFonts w:ascii="CIDFont+F4" w:hAnsi="CIDFont+F4" w:cs="CIDFont+F4"/>
          <w:b/>
          <w:i/>
          <w:color w:val="365F92"/>
          <w:sz w:val="24"/>
          <w:szCs w:val="24"/>
        </w:rPr>
        <w:t>Unioncamere</w:t>
      </w:r>
      <w:proofErr w:type="spellEnd"/>
    </w:p>
    <w:p w:rsidR="003D57F4" w:rsidRDefault="003D57F4" w:rsidP="003D57F4">
      <w:pPr>
        <w:rPr>
          <w:rFonts w:ascii="Tahoma" w:hAnsi="Tahoma" w:cs="Tahoma"/>
          <w:b/>
          <w:smallCaps/>
          <w:sz w:val="28"/>
          <w:szCs w:val="28"/>
        </w:rPr>
      </w:pPr>
      <w:r>
        <w:rPr>
          <w:rFonts w:ascii="Tahoma" w:hAnsi="Tahoma" w:cs="Tahoma"/>
          <w:b/>
          <w:smallCaps/>
          <w:sz w:val="28"/>
          <w:szCs w:val="28"/>
        </w:rPr>
        <w:lastRenderedPageBreak/>
        <w:t>Le Iscrizioni per Settore economico</w:t>
      </w:r>
    </w:p>
    <w:p w:rsidR="00321821" w:rsidRPr="000A09D9" w:rsidRDefault="00321821" w:rsidP="00321821">
      <w:pPr>
        <w:spacing w:line="360" w:lineRule="auto"/>
        <w:ind w:right="284"/>
        <w:jc w:val="both"/>
        <w:rPr>
          <w:rFonts w:ascii="Tahoma" w:hAnsi="Tahoma" w:cs="Tahoma"/>
          <w:sz w:val="24"/>
        </w:rPr>
      </w:pPr>
      <w:r w:rsidRPr="000A09D9">
        <w:rPr>
          <w:rFonts w:ascii="Tahoma" w:hAnsi="Tahoma" w:cs="Tahoma"/>
          <w:sz w:val="24"/>
        </w:rPr>
        <w:t>Per quanto riguarda i settori nei quali andranno ad operare le imprese di nuova iscrizione, va segnalato che l’assegnazione delle attività, sulla base anche della codifica dichiarata ai fini Iva, consente di offrire un quadro significativo dei settori</w:t>
      </w:r>
      <w:r>
        <w:rPr>
          <w:rFonts w:ascii="Tahoma" w:hAnsi="Tahoma" w:cs="Tahoma"/>
          <w:sz w:val="24"/>
        </w:rPr>
        <w:t xml:space="preserve"> </w:t>
      </w:r>
      <w:r w:rsidRPr="000A09D9">
        <w:rPr>
          <w:rFonts w:ascii="Tahoma" w:hAnsi="Tahoma" w:cs="Tahoma"/>
          <w:sz w:val="24"/>
        </w:rPr>
        <w:t>maggiormente coinvolti dal movimento di natalità imprenditoriale.</w:t>
      </w:r>
    </w:p>
    <w:p w:rsidR="00321821" w:rsidRDefault="00321821" w:rsidP="00321821">
      <w:pPr>
        <w:spacing w:line="360" w:lineRule="auto"/>
        <w:ind w:right="284"/>
        <w:jc w:val="both"/>
        <w:rPr>
          <w:rFonts w:ascii="Tahoma" w:hAnsi="Tahoma" w:cs="Tahoma"/>
          <w:sz w:val="24"/>
        </w:rPr>
      </w:pPr>
      <w:r w:rsidRPr="000A09D9">
        <w:rPr>
          <w:rFonts w:ascii="Tahoma" w:hAnsi="Tahoma" w:cs="Tahoma"/>
          <w:sz w:val="24"/>
        </w:rPr>
        <w:t xml:space="preserve">Dalla distribuzione per macro settore delle imprese nate nel </w:t>
      </w:r>
      <w:r w:rsidR="00AA314E">
        <w:rPr>
          <w:rFonts w:ascii="Tahoma" w:hAnsi="Tahoma" w:cs="Tahoma"/>
          <w:sz w:val="24"/>
        </w:rPr>
        <w:t xml:space="preserve">secondo </w:t>
      </w:r>
      <w:r w:rsidR="002A2B3D">
        <w:rPr>
          <w:rFonts w:ascii="Tahoma" w:hAnsi="Tahoma" w:cs="Tahoma"/>
          <w:sz w:val="24"/>
        </w:rPr>
        <w:t>tri</w:t>
      </w:r>
      <w:r w:rsidR="00AA314E">
        <w:rPr>
          <w:rFonts w:ascii="Tahoma" w:hAnsi="Tahoma" w:cs="Tahoma"/>
          <w:sz w:val="24"/>
        </w:rPr>
        <w:t>mestre del 2025</w:t>
      </w:r>
      <w:r w:rsidRPr="000A09D9">
        <w:rPr>
          <w:rFonts w:ascii="Tahoma" w:hAnsi="Tahoma" w:cs="Tahoma"/>
          <w:sz w:val="24"/>
        </w:rPr>
        <w:t xml:space="preserve"> emerge </w:t>
      </w:r>
      <w:r>
        <w:rPr>
          <w:rFonts w:ascii="Tahoma" w:hAnsi="Tahoma" w:cs="Tahoma"/>
          <w:sz w:val="24"/>
        </w:rPr>
        <w:t>il consueto prevalere delle iscrizioni nel c</w:t>
      </w:r>
      <w:r w:rsidRPr="000A09D9">
        <w:rPr>
          <w:rFonts w:ascii="Tahoma" w:hAnsi="Tahoma" w:cs="Tahoma"/>
          <w:sz w:val="24"/>
        </w:rPr>
        <w:t>ommercio (</w:t>
      </w:r>
      <w:r w:rsidR="00435EE9">
        <w:rPr>
          <w:rFonts w:ascii="Tahoma" w:hAnsi="Tahoma" w:cs="Tahoma"/>
          <w:sz w:val="24"/>
        </w:rPr>
        <w:t>28</w:t>
      </w:r>
      <w:r w:rsidRPr="000A09D9">
        <w:rPr>
          <w:rFonts w:ascii="Tahoma" w:hAnsi="Tahoma" w:cs="Tahoma"/>
          <w:sz w:val="24"/>
        </w:rPr>
        <w:t xml:space="preserve">%). Seguono il settore </w:t>
      </w:r>
      <w:r w:rsidR="00435EE9" w:rsidRPr="000A09D9">
        <w:rPr>
          <w:rFonts w:ascii="Tahoma" w:hAnsi="Tahoma" w:cs="Tahoma"/>
          <w:sz w:val="24"/>
        </w:rPr>
        <w:t>servizi alle imprese (</w:t>
      </w:r>
      <w:r w:rsidR="00435EE9">
        <w:rPr>
          <w:rFonts w:ascii="Tahoma" w:hAnsi="Tahoma" w:cs="Tahoma"/>
          <w:sz w:val="24"/>
        </w:rPr>
        <w:t>il 1</w:t>
      </w:r>
      <w:r w:rsidR="00AA314E">
        <w:rPr>
          <w:rFonts w:ascii="Tahoma" w:hAnsi="Tahoma" w:cs="Tahoma"/>
          <w:sz w:val="24"/>
        </w:rPr>
        <w:t>6</w:t>
      </w:r>
      <w:r w:rsidR="00435EE9" w:rsidRPr="000A09D9">
        <w:rPr>
          <w:rFonts w:ascii="Tahoma" w:hAnsi="Tahoma" w:cs="Tahoma"/>
          <w:sz w:val="24"/>
        </w:rPr>
        <w:t xml:space="preserve">% delle iscrizioni </w:t>
      </w:r>
      <w:r w:rsidRPr="000A09D9">
        <w:rPr>
          <w:rFonts w:ascii="Tahoma" w:hAnsi="Tahoma" w:cs="Tahoma"/>
          <w:sz w:val="24"/>
        </w:rPr>
        <w:t>totali classificate</w:t>
      </w:r>
      <w:r w:rsidR="00650210">
        <w:rPr>
          <w:rFonts w:ascii="Tahoma" w:hAnsi="Tahoma" w:cs="Tahoma"/>
          <w:sz w:val="24"/>
        </w:rPr>
        <w:t>)</w:t>
      </w:r>
      <w:r w:rsidR="00435EE9">
        <w:rPr>
          <w:rFonts w:ascii="Tahoma" w:hAnsi="Tahoma" w:cs="Tahoma"/>
          <w:sz w:val="24"/>
        </w:rPr>
        <w:t>, i</w:t>
      </w:r>
      <w:r w:rsidR="00117E3A">
        <w:rPr>
          <w:rFonts w:ascii="Tahoma" w:hAnsi="Tahoma" w:cs="Tahoma"/>
          <w:sz w:val="24"/>
        </w:rPr>
        <w:t>l</w:t>
      </w:r>
      <w:r w:rsidR="00435EE9">
        <w:rPr>
          <w:rFonts w:ascii="Tahoma" w:hAnsi="Tahoma" w:cs="Tahoma"/>
          <w:sz w:val="24"/>
        </w:rPr>
        <w:t xml:space="preserve"> turismo (1</w:t>
      </w:r>
      <w:r w:rsidR="00AA314E">
        <w:rPr>
          <w:rFonts w:ascii="Tahoma" w:hAnsi="Tahoma" w:cs="Tahoma"/>
          <w:sz w:val="24"/>
        </w:rPr>
        <w:t>5</w:t>
      </w:r>
      <w:r w:rsidR="00435EE9">
        <w:rPr>
          <w:rFonts w:ascii="Tahoma" w:hAnsi="Tahoma" w:cs="Tahoma"/>
          <w:sz w:val="24"/>
        </w:rPr>
        <w:t>%) e le costruzioni (12%)</w:t>
      </w:r>
      <w:r w:rsidR="00117E3A">
        <w:rPr>
          <w:rFonts w:ascii="Tahoma" w:hAnsi="Tahoma" w:cs="Tahoma"/>
          <w:sz w:val="24"/>
        </w:rPr>
        <w:t>.</w:t>
      </w:r>
    </w:p>
    <w:p w:rsidR="0025121A" w:rsidRPr="000A09D9" w:rsidRDefault="0025121A" w:rsidP="00321821">
      <w:pPr>
        <w:spacing w:line="360" w:lineRule="auto"/>
        <w:ind w:right="284"/>
        <w:jc w:val="both"/>
        <w:rPr>
          <w:rFonts w:ascii="Tahoma" w:hAnsi="Tahoma" w:cs="Tahoma"/>
          <w:sz w:val="24"/>
        </w:rPr>
      </w:pPr>
    </w:p>
    <w:p w:rsidR="00E84638" w:rsidRPr="00650210" w:rsidRDefault="00E84638" w:rsidP="006F1AC9">
      <w:pPr>
        <w:spacing w:line="240" w:lineRule="auto"/>
        <w:jc w:val="center"/>
        <w:rPr>
          <w:rFonts w:ascii="Tahoma" w:hAnsi="Tahoma" w:cs="Tahoma"/>
          <w:b/>
          <w:sz w:val="24"/>
        </w:rPr>
      </w:pPr>
      <w:r w:rsidRPr="00650210">
        <w:rPr>
          <w:rFonts w:ascii="Tahoma" w:hAnsi="Tahoma" w:cs="Tahoma"/>
          <w:b/>
          <w:sz w:val="24"/>
        </w:rPr>
        <w:t xml:space="preserve">Le imprese nate </w:t>
      </w:r>
      <w:r w:rsidR="00650210">
        <w:rPr>
          <w:rFonts w:ascii="Tahoma" w:hAnsi="Tahoma" w:cs="Tahoma"/>
          <w:b/>
          <w:sz w:val="24"/>
        </w:rPr>
        <w:t xml:space="preserve">nel </w:t>
      </w:r>
      <w:r w:rsidR="00AA314E">
        <w:rPr>
          <w:rFonts w:ascii="Tahoma" w:hAnsi="Tahoma" w:cs="Tahoma"/>
          <w:b/>
          <w:sz w:val="24"/>
        </w:rPr>
        <w:t>II trimestre 2025</w:t>
      </w:r>
      <w:r w:rsidRPr="00650210">
        <w:rPr>
          <w:rFonts w:ascii="Tahoma" w:hAnsi="Tahoma" w:cs="Tahoma"/>
          <w:b/>
          <w:sz w:val="24"/>
        </w:rPr>
        <w:t xml:space="preserve"> in provincia di Salerno</w:t>
      </w:r>
    </w:p>
    <w:p w:rsidR="00E84638" w:rsidRDefault="00E84638" w:rsidP="006F1AC9">
      <w:pPr>
        <w:spacing w:line="240" w:lineRule="auto"/>
        <w:jc w:val="center"/>
        <w:rPr>
          <w:rFonts w:ascii="Tahoma" w:hAnsi="Tahoma" w:cs="Tahoma"/>
          <w:b/>
          <w:sz w:val="24"/>
        </w:rPr>
      </w:pPr>
      <w:r w:rsidRPr="00650210">
        <w:rPr>
          <w:rFonts w:ascii="Tahoma" w:hAnsi="Tahoma" w:cs="Tahoma"/>
          <w:b/>
          <w:sz w:val="24"/>
        </w:rPr>
        <w:t>Distribuzione % per settore di attività</w:t>
      </w:r>
    </w:p>
    <w:p w:rsidR="00C30428" w:rsidRDefault="00AA314E" w:rsidP="006F1AC9">
      <w:pPr>
        <w:spacing w:line="240" w:lineRule="auto"/>
        <w:jc w:val="center"/>
        <w:rPr>
          <w:rFonts w:ascii="Tahoma" w:hAnsi="Tahoma" w:cs="Tahoma"/>
          <w:b/>
          <w:sz w:val="24"/>
        </w:rPr>
      </w:pPr>
      <w:r w:rsidRPr="00AA314E">
        <w:drawing>
          <wp:inline distT="0" distB="0" distL="0" distR="0">
            <wp:extent cx="4655820" cy="30480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55820" cy="3048000"/>
                    </a:xfrm>
                    <a:prstGeom prst="rect">
                      <a:avLst/>
                    </a:prstGeom>
                    <a:noFill/>
                    <a:ln>
                      <a:noFill/>
                    </a:ln>
                  </pic:spPr>
                </pic:pic>
              </a:graphicData>
            </a:graphic>
          </wp:inline>
        </w:drawing>
      </w:r>
    </w:p>
    <w:p w:rsidR="00C30428" w:rsidRPr="002A2B3D" w:rsidRDefault="00AA314E" w:rsidP="0025121A">
      <w:pPr>
        <w:spacing w:line="360" w:lineRule="auto"/>
        <w:ind w:right="284"/>
        <w:jc w:val="center"/>
        <w:rPr>
          <w:rFonts w:ascii="Tahoma" w:hAnsi="Tahoma" w:cs="Tahoma"/>
          <w:i/>
          <w:sz w:val="24"/>
        </w:rPr>
      </w:pPr>
      <w:r w:rsidRPr="002A2B3D">
        <w:rPr>
          <w:rFonts w:ascii="CIDFont+F4" w:hAnsi="CIDFont+F4" w:cs="CIDFont+F4"/>
          <w:b/>
          <w:i/>
          <w:color w:val="365F92"/>
          <w:sz w:val="24"/>
          <w:szCs w:val="24"/>
        </w:rPr>
        <w:t xml:space="preserve">Fonte: </w:t>
      </w:r>
      <w:proofErr w:type="spellStart"/>
      <w:r w:rsidRPr="002A2B3D">
        <w:rPr>
          <w:rFonts w:ascii="CIDFont+F4" w:hAnsi="CIDFont+F4" w:cs="CIDFont+F4"/>
          <w:b/>
          <w:i/>
          <w:color w:val="365F92"/>
          <w:sz w:val="24"/>
          <w:szCs w:val="24"/>
        </w:rPr>
        <w:t>elab</w:t>
      </w:r>
      <w:proofErr w:type="spellEnd"/>
      <w:r w:rsidRPr="002A2B3D">
        <w:rPr>
          <w:rFonts w:ascii="CIDFont+F4" w:hAnsi="CIDFont+F4" w:cs="CIDFont+F4"/>
          <w:b/>
          <w:i/>
          <w:color w:val="365F92"/>
          <w:sz w:val="24"/>
          <w:szCs w:val="24"/>
        </w:rPr>
        <w:t xml:space="preserve">. </w:t>
      </w:r>
      <w:r w:rsidRPr="002A2B3D">
        <w:rPr>
          <w:rFonts w:ascii="CIDFont+F4" w:hAnsi="CIDFont+F4" w:cs="CIDFont+F4"/>
          <w:b/>
          <w:i/>
          <w:color w:val="365F92"/>
          <w:sz w:val="24"/>
          <w:szCs w:val="24"/>
        </w:rPr>
        <w:t xml:space="preserve">Ufficio Studi </w:t>
      </w:r>
      <w:r w:rsidRPr="002A2B3D">
        <w:rPr>
          <w:rFonts w:ascii="CIDFont+F4" w:hAnsi="CIDFont+F4" w:cs="CIDFont+F4"/>
          <w:b/>
          <w:i/>
          <w:color w:val="365F92"/>
          <w:sz w:val="24"/>
          <w:szCs w:val="24"/>
        </w:rPr>
        <w:t xml:space="preserve">e </w:t>
      </w:r>
      <w:r w:rsidRPr="002A2B3D">
        <w:rPr>
          <w:rFonts w:ascii="CIDFont+F4" w:hAnsi="CIDFont+F4" w:cs="CIDFont+F4"/>
          <w:b/>
          <w:i/>
          <w:color w:val="365F92"/>
          <w:sz w:val="24"/>
          <w:szCs w:val="24"/>
        </w:rPr>
        <w:t xml:space="preserve">Statistica </w:t>
      </w:r>
      <w:r w:rsidRPr="002A2B3D">
        <w:rPr>
          <w:rFonts w:ascii="CIDFont+F4" w:hAnsi="CIDFont+F4" w:cs="CIDFont+F4"/>
          <w:b/>
          <w:i/>
          <w:color w:val="365F92"/>
          <w:sz w:val="24"/>
          <w:szCs w:val="24"/>
        </w:rPr>
        <w:t xml:space="preserve">su dati </w:t>
      </w:r>
      <w:proofErr w:type="spellStart"/>
      <w:r w:rsidRPr="002A2B3D">
        <w:rPr>
          <w:rFonts w:ascii="CIDFont+F4" w:hAnsi="CIDFont+F4" w:cs="CIDFont+F4"/>
          <w:b/>
          <w:i/>
          <w:color w:val="365F92"/>
          <w:sz w:val="24"/>
          <w:szCs w:val="24"/>
        </w:rPr>
        <w:t>Infocamere</w:t>
      </w:r>
      <w:proofErr w:type="spellEnd"/>
      <w:r w:rsidRPr="002A2B3D">
        <w:rPr>
          <w:rFonts w:ascii="CIDFont+F4" w:hAnsi="CIDFont+F4" w:cs="CIDFont+F4"/>
          <w:b/>
          <w:i/>
          <w:color w:val="365F92"/>
          <w:sz w:val="24"/>
          <w:szCs w:val="24"/>
        </w:rPr>
        <w:t>/</w:t>
      </w:r>
      <w:proofErr w:type="spellStart"/>
      <w:r w:rsidRPr="002A2B3D">
        <w:rPr>
          <w:rFonts w:ascii="CIDFont+F4" w:hAnsi="CIDFont+F4" w:cs="CIDFont+F4"/>
          <w:b/>
          <w:i/>
          <w:color w:val="365F92"/>
          <w:sz w:val="24"/>
          <w:szCs w:val="24"/>
        </w:rPr>
        <w:t>Unioncamere</w:t>
      </w:r>
      <w:proofErr w:type="spellEnd"/>
    </w:p>
    <w:p w:rsidR="00262C94" w:rsidRDefault="00AA314E" w:rsidP="00AA314E">
      <w:pPr>
        <w:tabs>
          <w:tab w:val="left" w:pos="2892"/>
        </w:tabs>
        <w:rPr>
          <w:b/>
          <w:sz w:val="24"/>
        </w:rPr>
      </w:pPr>
      <w:r>
        <w:rPr>
          <w:b/>
          <w:sz w:val="24"/>
        </w:rPr>
        <w:tab/>
      </w:r>
      <w:bookmarkStart w:id="0" w:name="_GoBack"/>
      <w:bookmarkEnd w:id="0"/>
    </w:p>
    <w:sectPr w:rsidR="00262C94" w:rsidSect="00123077">
      <w:headerReference w:type="default" r:id="rId10"/>
      <w:footerReference w:type="default" r:id="rId11"/>
      <w:pgSz w:w="11906" w:h="16838"/>
      <w:pgMar w:top="2269" w:right="1134" w:bottom="1134" w:left="1134" w:header="708" w:footer="4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4B6" w:rsidRDefault="00DE74B6" w:rsidP="00E50A85">
      <w:pPr>
        <w:spacing w:after="0" w:line="240" w:lineRule="auto"/>
      </w:pPr>
      <w:r>
        <w:separator/>
      </w:r>
    </w:p>
  </w:endnote>
  <w:endnote w:type="continuationSeparator" w:id="0">
    <w:p w:rsidR="00DE74B6" w:rsidRDefault="00DE74B6" w:rsidP="00E5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4">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id w:val="14020965"/>
      <w:docPartObj>
        <w:docPartGallery w:val="Page Numbers (Bottom of Page)"/>
        <w:docPartUnique/>
      </w:docPartObj>
    </w:sdtPr>
    <w:sdtEndPr/>
    <w:sdtContent>
      <w:sdt>
        <w:sdtPr>
          <w:rPr>
            <w:rFonts w:asciiTheme="majorHAnsi" w:eastAsiaTheme="majorEastAsia" w:hAnsiTheme="majorHAnsi" w:cstheme="majorBidi"/>
          </w:rPr>
          <w:id w:val="14020966"/>
          <w:docPartObj>
            <w:docPartGallery w:val="Page Numbers (Margins)"/>
            <w:docPartUnique/>
          </w:docPartObj>
        </w:sdtPr>
        <w:sdtEndPr/>
        <w:sdtContent>
          <w:p w:rsidR="00983FFC" w:rsidRDefault="001769DA">
            <w:pPr>
              <w:rPr>
                <w:rFonts w:asciiTheme="majorHAnsi" w:eastAsiaTheme="majorEastAsia" w:hAnsiTheme="majorHAnsi" w:cstheme="majorBidi"/>
              </w:rPr>
            </w:pPr>
            <w:r>
              <w:rPr>
                <w:rFonts w:asciiTheme="majorHAnsi" w:eastAsiaTheme="majorEastAsia" w:hAnsiTheme="majorHAnsi" w:cstheme="majorBidi"/>
                <w:noProof/>
                <w:lang w:eastAsia="it-IT"/>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26415" cy="471170"/>
                      <wp:effectExtent l="0" t="9525" r="6985" b="508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415" cy="471170"/>
                              </a:xfrm>
                              <a:prstGeom prst="ellipse">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983FFC" w:rsidRDefault="00CC23F6">
                                  <w:pPr>
                                    <w:pStyle w:val="Pidipagina"/>
                                    <w:jc w:val="center"/>
                                    <w:rPr>
                                      <w:b/>
                                      <w:color w:val="FFFFFF" w:themeColor="background1"/>
                                      <w:sz w:val="32"/>
                                      <w:szCs w:val="32"/>
                                    </w:rPr>
                                  </w:pPr>
                                  <w:r>
                                    <w:fldChar w:fldCharType="begin"/>
                                  </w:r>
                                  <w:r>
                                    <w:instrText xml:space="preserve"> PAGE    \* MERGEFORMAT </w:instrText>
                                  </w:r>
                                  <w:r>
                                    <w:fldChar w:fldCharType="separate"/>
                                  </w:r>
                                  <w:r w:rsidR="00040C46" w:rsidRPr="00040C46">
                                    <w:rPr>
                                      <w:b/>
                                      <w:noProof/>
                                      <w:color w:val="FFFFFF" w:themeColor="background1"/>
                                      <w:sz w:val="32"/>
                                      <w:szCs w:val="32"/>
                                    </w:rPr>
                                    <w:t>1</w:t>
                                  </w:r>
                                  <w:r>
                                    <w:rPr>
                                      <w:b/>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0;margin-top:0;width:41.45pt;height:37.1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EElwIAADIFAAAOAAAAZHJzL2Uyb0RvYy54bWysVNuO2yAQfa/Uf0C8Z32RnaytdVZ7aapK&#10;2+5K234AARyjYqBA4myr/fcO2EmT9qWq+mIzMzBzznCGq+t9L9GOWye0anB2kWLEFdVMqE2Dv3xe&#10;zS4xcp4oRqRWvMEv3OHr5ds3V4Opea47LRm3CJIoVw+mwZ33pk4SRzveE3ehDVcQbLXtiQfTbhJm&#10;yQDZe5nkaTpPBm2ZsZpy58B7PwbxMuZvW079Y9s67pFsMGDz8Wvjdx2+yfKK1BtLTCfoBIP8A4qe&#10;CAVFj6nuiSdoa8UfqXpBrXa69RdU94luW0F55ABssvQ3Ns8dMTxygeY4c2yT+39p6afdk0WCwd1h&#10;pEgPV/S4IxJloTODcTVseDZPNnBz5kHTrw4pfdcRteE31uqh44QBnrg/OTsQDAdH0Xr4qBkkJluv&#10;Y5P2re1DQqCP9vEuXo53wfceUXCW+bzISowohIpFli3iXSWkPhw21vn3XPcoLBrMpRTGhW6Rmuwe&#10;nAf8sPuwK+LXUrCVkDIaQWH8TloEdAEbpVz5LB6X2x4Aj/5FmaaTSsANWhrdBzBRpyFLLOZOC0gV&#10;yigdCo5YRg8QBHQhFqhGjfyosrxIb/NqtppfLmbFqihn1SK9nKVZdVvN06Iq7levAVtW1J1gjKsH&#10;ofhBr1nxd3qYJmdUWlQsGhpclXkZaZ+hd3azPjYHWjB1ATp6ts3qrWJxhoIO3k1rT4Qc18k54tgl&#10;oH34x0ZE1QShjILz+/V+0t5asxfQj9VwvzC88MzAotP2O0YDjGyD3bctsRwj+UGBBqusKMKMR6Mo&#10;FzkY9jSyPo0QRSFVg6m3GI3GnR9fhq2xYtNBrVEPSt+AclsRJRVUPeICEsGAwYx0pkckTP6pHXf9&#10;euqWPwEAAP//AwBQSwMEFAAGAAgAAAAhAJc887TaAAAAAwEAAA8AAABkcnMvZG93bnJldi54bWxM&#10;j8FOwzAQRO9I/QdrkXqjTqMKSohTVUgVXAKicODoxosTYa+jeJuEv8dwgctKoxnNvC13s3dixCF2&#10;gRSsVxkIpCaYjqyCt9fD1RZEZE1Gu0Co4Asj7KrFRakLEyZ6wfHIVqQSioVW0DL3hZSxadHruAo9&#10;UvI+wuA1JzlYaQY9pXLvZJ5l19LrjtJCq3u8b7H5PJ69Ap/V7z7WPNX2iQ92PT+7x4dRqeXlvL8D&#10;wTjzXxh+8BM6VInpFM5konAK0iP8e5O3zW9BnBTcbHKQVSn/s1ffAAAA//8DAFBLAQItABQABgAI&#10;AAAAIQC2gziS/gAAAOEBAAATAAAAAAAAAAAAAAAAAAAAAABbQ29udGVudF9UeXBlc10ueG1sUEsB&#10;Ai0AFAAGAAgAAAAhADj9If/WAAAAlAEAAAsAAAAAAAAAAAAAAAAALwEAAF9yZWxzLy5yZWxzUEsB&#10;Ai0AFAAGAAgAAAAhACGKgQSXAgAAMgUAAA4AAAAAAAAAAAAAAAAALgIAAGRycy9lMm9Eb2MueG1s&#10;UEsBAi0AFAAGAAgAAAAhAJc887TaAAAAAwEAAA8AAAAAAAAAAAAAAAAA8QQAAGRycy9kb3ducmV2&#10;LnhtbFBLBQYAAAAABAAEAPMAAAD4BQAAAAA=&#10;" fillcolor="#365f91 [2404]" stroked="f">
                      <v:textbox>
                        <w:txbxContent>
                          <w:p w:rsidR="00983FFC" w:rsidRDefault="00CC23F6">
                            <w:pPr>
                              <w:pStyle w:val="Pidipagina"/>
                              <w:jc w:val="center"/>
                              <w:rPr>
                                <w:b/>
                                <w:color w:val="FFFFFF" w:themeColor="background1"/>
                                <w:sz w:val="32"/>
                                <w:szCs w:val="32"/>
                              </w:rPr>
                            </w:pPr>
                            <w:r>
                              <w:fldChar w:fldCharType="begin"/>
                            </w:r>
                            <w:r>
                              <w:instrText xml:space="preserve"> PAGE    \* MERGEFORMAT </w:instrText>
                            </w:r>
                            <w:r>
                              <w:fldChar w:fldCharType="separate"/>
                            </w:r>
                            <w:r w:rsidR="00040C46" w:rsidRPr="00040C46">
                              <w:rPr>
                                <w:b/>
                                <w:noProof/>
                                <w:color w:val="FFFFFF" w:themeColor="background1"/>
                                <w:sz w:val="32"/>
                                <w:szCs w:val="32"/>
                              </w:rPr>
                              <w:t>1</w:t>
                            </w:r>
                            <w:r>
                              <w:rPr>
                                <w:b/>
                                <w:noProof/>
                                <w:color w:val="FFFFFF" w:themeColor="background1"/>
                                <w:sz w:val="32"/>
                                <w:szCs w:val="32"/>
                              </w:rPr>
                              <w:fldChar w:fldCharType="end"/>
                            </w:r>
                          </w:p>
                        </w:txbxContent>
                      </v:textbox>
                      <w10:wrap anchorx="margin" anchory="margin"/>
                    </v:oval>
                  </w:pict>
                </mc:Fallback>
              </mc:AlternateContent>
            </w:r>
          </w:p>
        </w:sdtContent>
      </w:sdt>
    </w:sdtContent>
  </w:sdt>
  <w:p w:rsidR="00983FFC" w:rsidRDefault="00983FF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4B6" w:rsidRDefault="00DE74B6" w:rsidP="00E50A85">
      <w:pPr>
        <w:spacing w:after="0" w:line="240" w:lineRule="auto"/>
      </w:pPr>
      <w:r>
        <w:separator/>
      </w:r>
    </w:p>
  </w:footnote>
  <w:footnote w:type="continuationSeparator" w:id="0">
    <w:p w:rsidR="00DE74B6" w:rsidRDefault="00DE74B6" w:rsidP="00E50A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A85" w:rsidRDefault="00E50A85">
    <w:pPr>
      <w:pStyle w:val="Intestazione"/>
    </w:pPr>
    <w:r>
      <w:rPr>
        <w:noProof/>
        <w:lang w:eastAsia="it-IT"/>
      </w:rPr>
      <w:drawing>
        <wp:anchor distT="0" distB="0" distL="114300" distR="114300" simplePos="0" relativeHeight="251658240" behindDoc="1" locked="0" layoutInCell="1" allowOverlap="1">
          <wp:simplePos x="0" y="0"/>
          <wp:positionH relativeFrom="column">
            <wp:posOffset>-548640</wp:posOffset>
          </wp:positionH>
          <wp:positionV relativeFrom="paragraph">
            <wp:posOffset>-411480</wp:posOffset>
          </wp:positionV>
          <wp:extent cx="7000875" cy="1431786"/>
          <wp:effectExtent l="19050" t="0" r="9525" b="0"/>
          <wp:wrapNone/>
          <wp:docPr id="14" name="Immagine 2" descr="Salerno--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lerno--header2"/>
                  <pic:cNvPicPr>
                    <a:picLocks noChangeAspect="1" noChangeArrowheads="1"/>
                  </pic:cNvPicPr>
                </pic:nvPicPr>
                <pic:blipFill>
                  <a:blip r:embed="rId1"/>
                  <a:srcRect/>
                  <a:stretch>
                    <a:fillRect/>
                  </a:stretch>
                </pic:blipFill>
                <pic:spPr bwMode="auto">
                  <a:xfrm>
                    <a:off x="0" y="0"/>
                    <a:ext cx="7000875" cy="1431786"/>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FA7285"/>
    <w:multiLevelType w:val="hybridMultilevel"/>
    <w:tmpl w:val="247E50F6"/>
    <w:lvl w:ilvl="0" w:tplc="47FA940E">
      <w:start w:val="1"/>
      <w:numFmt w:val="bullet"/>
      <w:lvlText w:val=""/>
      <w:lvlJc w:val="left"/>
      <w:pPr>
        <w:ind w:left="720" w:hanging="360"/>
      </w:pPr>
      <w:rPr>
        <w:rFonts w:ascii="Wingdings" w:hAnsi="Wingdings" w:hint="default"/>
        <w:b/>
        <w:color w:val="C0000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3EE"/>
    <w:rsid w:val="00001B2A"/>
    <w:rsid w:val="00012EF3"/>
    <w:rsid w:val="000248E1"/>
    <w:rsid w:val="00040A25"/>
    <w:rsid w:val="00040C46"/>
    <w:rsid w:val="00050F2E"/>
    <w:rsid w:val="00081BFD"/>
    <w:rsid w:val="000A09D9"/>
    <w:rsid w:val="000B0898"/>
    <w:rsid w:val="000B6B31"/>
    <w:rsid w:val="000D083F"/>
    <w:rsid w:val="000F49CE"/>
    <w:rsid w:val="000F6E3F"/>
    <w:rsid w:val="00117E3A"/>
    <w:rsid w:val="00123077"/>
    <w:rsid w:val="001769DA"/>
    <w:rsid w:val="00192F9B"/>
    <w:rsid w:val="00197ABE"/>
    <w:rsid w:val="001A6029"/>
    <w:rsid w:val="001C5804"/>
    <w:rsid w:val="001D549A"/>
    <w:rsid w:val="001D7DA4"/>
    <w:rsid w:val="001F08FB"/>
    <w:rsid w:val="0025121A"/>
    <w:rsid w:val="00255BF4"/>
    <w:rsid w:val="00261A92"/>
    <w:rsid w:val="00262C94"/>
    <w:rsid w:val="002A2B3D"/>
    <w:rsid w:val="002A34A2"/>
    <w:rsid w:val="002B190A"/>
    <w:rsid w:val="002B6053"/>
    <w:rsid w:val="002C52DA"/>
    <w:rsid w:val="002D0D06"/>
    <w:rsid w:val="002F2261"/>
    <w:rsid w:val="00321821"/>
    <w:rsid w:val="003365C0"/>
    <w:rsid w:val="00365FC6"/>
    <w:rsid w:val="003673F8"/>
    <w:rsid w:val="00375301"/>
    <w:rsid w:val="00381A6E"/>
    <w:rsid w:val="003C2B05"/>
    <w:rsid w:val="003D12DD"/>
    <w:rsid w:val="003D57F4"/>
    <w:rsid w:val="003E437C"/>
    <w:rsid w:val="003F3919"/>
    <w:rsid w:val="003F67B3"/>
    <w:rsid w:val="00411DAF"/>
    <w:rsid w:val="0043257A"/>
    <w:rsid w:val="00435EE9"/>
    <w:rsid w:val="00454D1F"/>
    <w:rsid w:val="00460562"/>
    <w:rsid w:val="00463849"/>
    <w:rsid w:val="004D16EB"/>
    <w:rsid w:val="004D3C35"/>
    <w:rsid w:val="005140B9"/>
    <w:rsid w:val="00516C8B"/>
    <w:rsid w:val="005208B6"/>
    <w:rsid w:val="00521BA7"/>
    <w:rsid w:val="00565186"/>
    <w:rsid w:val="00581FE7"/>
    <w:rsid w:val="005951CE"/>
    <w:rsid w:val="005D2E12"/>
    <w:rsid w:val="005F2240"/>
    <w:rsid w:val="00603118"/>
    <w:rsid w:val="00635318"/>
    <w:rsid w:val="00637CCD"/>
    <w:rsid w:val="0064501D"/>
    <w:rsid w:val="00650210"/>
    <w:rsid w:val="00656989"/>
    <w:rsid w:val="006833EE"/>
    <w:rsid w:val="006B62FF"/>
    <w:rsid w:val="006C5750"/>
    <w:rsid w:val="006E12EE"/>
    <w:rsid w:val="006F1AC9"/>
    <w:rsid w:val="00716425"/>
    <w:rsid w:val="00791417"/>
    <w:rsid w:val="007B2DED"/>
    <w:rsid w:val="00807243"/>
    <w:rsid w:val="00844152"/>
    <w:rsid w:val="008C7413"/>
    <w:rsid w:val="008E0DF6"/>
    <w:rsid w:val="008E2E2F"/>
    <w:rsid w:val="00902880"/>
    <w:rsid w:val="00912D54"/>
    <w:rsid w:val="0097033E"/>
    <w:rsid w:val="00983FFC"/>
    <w:rsid w:val="0099707B"/>
    <w:rsid w:val="009B5214"/>
    <w:rsid w:val="009D514A"/>
    <w:rsid w:val="009E6AE4"/>
    <w:rsid w:val="009F3154"/>
    <w:rsid w:val="00A05B4C"/>
    <w:rsid w:val="00A143DF"/>
    <w:rsid w:val="00A31BF3"/>
    <w:rsid w:val="00A70509"/>
    <w:rsid w:val="00A76F24"/>
    <w:rsid w:val="00A90D65"/>
    <w:rsid w:val="00AA314E"/>
    <w:rsid w:val="00AA3AFF"/>
    <w:rsid w:val="00AA6163"/>
    <w:rsid w:val="00AE1F8E"/>
    <w:rsid w:val="00AF42B2"/>
    <w:rsid w:val="00B011E6"/>
    <w:rsid w:val="00B63729"/>
    <w:rsid w:val="00B65522"/>
    <w:rsid w:val="00BA50CE"/>
    <w:rsid w:val="00BC02DE"/>
    <w:rsid w:val="00BF5888"/>
    <w:rsid w:val="00BF7AAB"/>
    <w:rsid w:val="00C30428"/>
    <w:rsid w:val="00C411BA"/>
    <w:rsid w:val="00C47E3C"/>
    <w:rsid w:val="00C70622"/>
    <w:rsid w:val="00C87520"/>
    <w:rsid w:val="00C91C8A"/>
    <w:rsid w:val="00C95D42"/>
    <w:rsid w:val="00CB64B5"/>
    <w:rsid w:val="00CC23F6"/>
    <w:rsid w:val="00CC711A"/>
    <w:rsid w:val="00CD08C2"/>
    <w:rsid w:val="00CE46FE"/>
    <w:rsid w:val="00CE71B1"/>
    <w:rsid w:val="00D20825"/>
    <w:rsid w:val="00D22AD2"/>
    <w:rsid w:val="00D667B4"/>
    <w:rsid w:val="00DA515E"/>
    <w:rsid w:val="00DB63DE"/>
    <w:rsid w:val="00DE74B6"/>
    <w:rsid w:val="00DF1619"/>
    <w:rsid w:val="00E50A85"/>
    <w:rsid w:val="00E54B03"/>
    <w:rsid w:val="00E71F73"/>
    <w:rsid w:val="00E84638"/>
    <w:rsid w:val="00EC083B"/>
    <w:rsid w:val="00EC4A0A"/>
    <w:rsid w:val="00ED577A"/>
    <w:rsid w:val="00EE31CC"/>
    <w:rsid w:val="00F1328C"/>
    <w:rsid w:val="00F21BA3"/>
    <w:rsid w:val="00F26F8F"/>
    <w:rsid w:val="00F54F97"/>
    <w:rsid w:val="00F6545E"/>
    <w:rsid w:val="00FA24EA"/>
    <w:rsid w:val="00FA73A5"/>
    <w:rsid w:val="00FD0C27"/>
    <w:rsid w:val="00FD1192"/>
    <w:rsid w:val="00FD5962"/>
    <w:rsid w:val="00FE1435"/>
    <w:rsid w:val="00FE6A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3AEA95-CFF8-4EC1-B82C-DDF15D05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E31CC"/>
  </w:style>
  <w:style w:type="paragraph" w:styleId="Titolo6">
    <w:name w:val="heading 6"/>
    <w:basedOn w:val="Normale"/>
    <w:next w:val="Normale"/>
    <w:link w:val="Titolo6Carattere"/>
    <w:qFormat/>
    <w:rsid w:val="00C70622"/>
    <w:pPr>
      <w:keepNext/>
      <w:spacing w:after="0" w:line="240" w:lineRule="auto"/>
      <w:jc w:val="both"/>
      <w:outlineLvl w:val="5"/>
    </w:pPr>
    <w:rPr>
      <w:rFonts w:ascii="Wingdings" w:eastAsia="Cambria Math" w:hAnsi="Wingdings" w:cs="Cambria Math"/>
      <w:b/>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833EE"/>
    <w:pPr>
      <w:ind w:left="720"/>
      <w:contextualSpacing/>
    </w:pPr>
  </w:style>
  <w:style w:type="paragraph" w:styleId="Testofumetto">
    <w:name w:val="Balloon Text"/>
    <w:basedOn w:val="Normale"/>
    <w:link w:val="TestofumettoCarattere"/>
    <w:uiPriority w:val="99"/>
    <w:semiHidden/>
    <w:unhideWhenUsed/>
    <w:rsid w:val="00516C8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6C8B"/>
    <w:rPr>
      <w:rFonts w:ascii="Tahoma" w:hAnsi="Tahoma" w:cs="Tahoma"/>
      <w:sz w:val="16"/>
      <w:szCs w:val="16"/>
    </w:rPr>
  </w:style>
  <w:style w:type="paragraph" w:styleId="Intestazione">
    <w:name w:val="header"/>
    <w:basedOn w:val="Normale"/>
    <w:link w:val="IntestazioneCarattere"/>
    <w:uiPriority w:val="99"/>
    <w:unhideWhenUsed/>
    <w:rsid w:val="00E50A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0A85"/>
  </w:style>
  <w:style w:type="paragraph" w:styleId="Pidipagina">
    <w:name w:val="footer"/>
    <w:basedOn w:val="Normale"/>
    <w:link w:val="PidipaginaCarattere"/>
    <w:uiPriority w:val="99"/>
    <w:unhideWhenUsed/>
    <w:rsid w:val="00E50A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0A85"/>
  </w:style>
  <w:style w:type="paragraph" w:styleId="Testonotaapidipagina">
    <w:name w:val="footnote text"/>
    <w:basedOn w:val="Normale"/>
    <w:link w:val="TestonotaapidipaginaCarattere"/>
    <w:semiHidden/>
    <w:rsid w:val="002A34A2"/>
    <w:pPr>
      <w:spacing w:after="0" w:line="240" w:lineRule="auto"/>
    </w:pPr>
    <w:rPr>
      <w:rFonts w:ascii="Cambria Math" w:eastAsia="Cambria Math" w:hAnsi="Cambria Math" w:cs="Cambria Math"/>
      <w:sz w:val="20"/>
      <w:szCs w:val="20"/>
      <w:lang w:eastAsia="it-IT"/>
    </w:rPr>
  </w:style>
  <w:style w:type="character" w:customStyle="1" w:styleId="TestonotaapidipaginaCarattere">
    <w:name w:val="Testo nota a piè di pagina Carattere"/>
    <w:basedOn w:val="Carpredefinitoparagrafo"/>
    <w:link w:val="Testonotaapidipagina"/>
    <w:semiHidden/>
    <w:rsid w:val="002A34A2"/>
    <w:rPr>
      <w:rFonts w:ascii="Cambria Math" w:eastAsia="Cambria Math" w:hAnsi="Cambria Math" w:cs="Cambria Math"/>
      <w:sz w:val="20"/>
      <w:szCs w:val="20"/>
      <w:lang w:eastAsia="it-IT"/>
    </w:rPr>
  </w:style>
  <w:style w:type="character" w:styleId="Rimandonotaapidipagina">
    <w:name w:val="footnote reference"/>
    <w:semiHidden/>
    <w:rsid w:val="002A34A2"/>
    <w:rPr>
      <w:vertAlign w:val="superscript"/>
    </w:rPr>
  </w:style>
  <w:style w:type="character" w:styleId="Collegamentoipertestuale">
    <w:name w:val="Hyperlink"/>
    <w:basedOn w:val="Carpredefinitoparagrafo"/>
    <w:uiPriority w:val="99"/>
    <w:unhideWhenUsed/>
    <w:rsid w:val="00C70622"/>
    <w:rPr>
      <w:color w:val="0000FF" w:themeColor="hyperlink"/>
      <w:u w:val="single"/>
    </w:rPr>
  </w:style>
  <w:style w:type="character" w:customStyle="1" w:styleId="Titolo6Carattere">
    <w:name w:val="Titolo 6 Carattere"/>
    <w:basedOn w:val="Carpredefinitoparagrafo"/>
    <w:link w:val="Titolo6"/>
    <w:rsid w:val="00C70622"/>
    <w:rPr>
      <w:rFonts w:ascii="Wingdings" w:eastAsia="Cambria Math" w:hAnsi="Wingdings" w:cs="Cambria Math"/>
      <w:b/>
      <w:sz w:val="28"/>
      <w:szCs w:val="20"/>
      <w:lang w:eastAsia="it-IT"/>
    </w:rPr>
  </w:style>
  <w:style w:type="paragraph" w:styleId="NormaleWeb">
    <w:name w:val="Normal (Web)"/>
    <w:basedOn w:val="Normale"/>
    <w:uiPriority w:val="99"/>
    <w:unhideWhenUsed/>
    <w:rsid w:val="00AA314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25308">
      <w:bodyDiv w:val="1"/>
      <w:marLeft w:val="0"/>
      <w:marRight w:val="0"/>
      <w:marTop w:val="0"/>
      <w:marBottom w:val="0"/>
      <w:divBdr>
        <w:top w:val="none" w:sz="0" w:space="0" w:color="auto"/>
        <w:left w:val="none" w:sz="0" w:space="0" w:color="auto"/>
        <w:bottom w:val="none" w:sz="0" w:space="0" w:color="auto"/>
        <w:right w:val="none" w:sz="0" w:space="0" w:color="auto"/>
      </w:divBdr>
    </w:div>
    <w:div w:id="80223681">
      <w:bodyDiv w:val="1"/>
      <w:marLeft w:val="0"/>
      <w:marRight w:val="0"/>
      <w:marTop w:val="0"/>
      <w:marBottom w:val="0"/>
      <w:divBdr>
        <w:top w:val="none" w:sz="0" w:space="0" w:color="auto"/>
        <w:left w:val="none" w:sz="0" w:space="0" w:color="auto"/>
        <w:bottom w:val="none" w:sz="0" w:space="0" w:color="auto"/>
        <w:right w:val="none" w:sz="0" w:space="0" w:color="auto"/>
      </w:divBdr>
    </w:div>
    <w:div w:id="88235078">
      <w:bodyDiv w:val="1"/>
      <w:marLeft w:val="0"/>
      <w:marRight w:val="0"/>
      <w:marTop w:val="0"/>
      <w:marBottom w:val="0"/>
      <w:divBdr>
        <w:top w:val="none" w:sz="0" w:space="0" w:color="auto"/>
        <w:left w:val="none" w:sz="0" w:space="0" w:color="auto"/>
        <w:bottom w:val="none" w:sz="0" w:space="0" w:color="auto"/>
        <w:right w:val="none" w:sz="0" w:space="0" w:color="auto"/>
      </w:divBdr>
    </w:div>
    <w:div w:id="101387352">
      <w:bodyDiv w:val="1"/>
      <w:marLeft w:val="0"/>
      <w:marRight w:val="0"/>
      <w:marTop w:val="0"/>
      <w:marBottom w:val="0"/>
      <w:divBdr>
        <w:top w:val="none" w:sz="0" w:space="0" w:color="auto"/>
        <w:left w:val="none" w:sz="0" w:space="0" w:color="auto"/>
        <w:bottom w:val="none" w:sz="0" w:space="0" w:color="auto"/>
        <w:right w:val="none" w:sz="0" w:space="0" w:color="auto"/>
      </w:divBdr>
    </w:div>
    <w:div w:id="139884073">
      <w:bodyDiv w:val="1"/>
      <w:marLeft w:val="0"/>
      <w:marRight w:val="0"/>
      <w:marTop w:val="0"/>
      <w:marBottom w:val="0"/>
      <w:divBdr>
        <w:top w:val="none" w:sz="0" w:space="0" w:color="auto"/>
        <w:left w:val="none" w:sz="0" w:space="0" w:color="auto"/>
        <w:bottom w:val="none" w:sz="0" w:space="0" w:color="auto"/>
        <w:right w:val="none" w:sz="0" w:space="0" w:color="auto"/>
      </w:divBdr>
    </w:div>
    <w:div w:id="203757436">
      <w:bodyDiv w:val="1"/>
      <w:marLeft w:val="0"/>
      <w:marRight w:val="0"/>
      <w:marTop w:val="0"/>
      <w:marBottom w:val="0"/>
      <w:divBdr>
        <w:top w:val="none" w:sz="0" w:space="0" w:color="auto"/>
        <w:left w:val="none" w:sz="0" w:space="0" w:color="auto"/>
        <w:bottom w:val="none" w:sz="0" w:space="0" w:color="auto"/>
        <w:right w:val="none" w:sz="0" w:space="0" w:color="auto"/>
      </w:divBdr>
    </w:div>
    <w:div w:id="276301359">
      <w:bodyDiv w:val="1"/>
      <w:marLeft w:val="0"/>
      <w:marRight w:val="0"/>
      <w:marTop w:val="0"/>
      <w:marBottom w:val="0"/>
      <w:divBdr>
        <w:top w:val="none" w:sz="0" w:space="0" w:color="auto"/>
        <w:left w:val="none" w:sz="0" w:space="0" w:color="auto"/>
        <w:bottom w:val="none" w:sz="0" w:space="0" w:color="auto"/>
        <w:right w:val="none" w:sz="0" w:space="0" w:color="auto"/>
      </w:divBdr>
    </w:div>
    <w:div w:id="526214750">
      <w:bodyDiv w:val="1"/>
      <w:marLeft w:val="0"/>
      <w:marRight w:val="0"/>
      <w:marTop w:val="0"/>
      <w:marBottom w:val="0"/>
      <w:divBdr>
        <w:top w:val="none" w:sz="0" w:space="0" w:color="auto"/>
        <w:left w:val="none" w:sz="0" w:space="0" w:color="auto"/>
        <w:bottom w:val="none" w:sz="0" w:space="0" w:color="auto"/>
        <w:right w:val="none" w:sz="0" w:space="0" w:color="auto"/>
      </w:divBdr>
    </w:div>
    <w:div w:id="593787504">
      <w:bodyDiv w:val="1"/>
      <w:marLeft w:val="0"/>
      <w:marRight w:val="0"/>
      <w:marTop w:val="0"/>
      <w:marBottom w:val="0"/>
      <w:divBdr>
        <w:top w:val="none" w:sz="0" w:space="0" w:color="auto"/>
        <w:left w:val="none" w:sz="0" w:space="0" w:color="auto"/>
        <w:bottom w:val="none" w:sz="0" w:space="0" w:color="auto"/>
        <w:right w:val="none" w:sz="0" w:space="0" w:color="auto"/>
      </w:divBdr>
    </w:div>
    <w:div w:id="737939848">
      <w:bodyDiv w:val="1"/>
      <w:marLeft w:val="0"/>
      <w:marRight w:val="0"/>
      <w:marTop w:val="0"/>
      <w:marBottom w:val="0"/>
      <w:divBdr>
        <w:top w:val="none" w:sz="0" w:space="0" w:color="auto"/>
        <w:left w:val="none" w:sz="0" w:space="0" w:color="auto"/>
        <w:bottom w:val="none" w:sz="0" w:space="0" w:color="auto"/>
        <w:right w:val="none" w:sz="0" w:space="0" w:color="auto"/>
      </w:divBdr>
    </w:div>
    <w:div w:id="810368698">
      <w:bodyDiv w:val="1"/>
      <w:marLeft w:val="0"/>
      <w:marRight w:val="0"/>
      <w:marTop w:val="0"/>
      <w:marBottom w:val="0"/>
      <w:divBdr>
        <w:top w:val="none" w:sz="0" w:space="0" w:color="auto"/>
        <w:left w:val="none" w:sz="0" w:space="0" w:color="auto"/>
        <w:bottom w:val="none" w:sz="0" w:space="0" w:color="auto"/>
        <w:right w:val="none" w:sz="0" w:space="0" w:color="auto"/>
      </w:divBdr>
    </w:div>
    <w:div w:id="873689265">
      <w:bodyDiv w:val="1"/>
      <w:marLeft w:val="0"/>
      <w:marRight w:val="0"/>
      <w:marTop w:val="0"/>
      <w:marBottom w:val="0"/>
      <w:divBdr>
        <w:top w:val="none" w:sz="0" w:space="0" w:color="auto"/>
        <w:left w:val="none" w:sz="0" w:space="0" w:color="auto"/>
        <w:bottom w:val="none" w:sz="0" w:space="0" w:color="auto"/>
        <w:right w:val="none" w:sz="0" w:space="0" w:color="auto"/>
      </w:divBdr>
    </w:div>
    <w:div w:id="970673013">
      <w:bodyDiv w:val="1"/>
      <w:marLeft w:val="0"/>
      <w:marRight w:val="0"/>
      <w:marTop w:val="0"/>
      <w:marBottom w:val="0"/>
      <w:divBdr>
        <w:top w:val="none" w:sz="0" w:space="0" w:color="auto"/>
        <w:left w:val="none" w:sz="0" w:space="0" w:color="auto"/>
        <w:bottom w:val="none" w:sz="0" w:space="0" w:color="auto"/>
        <w:right w:val="none" w:sz="0" w:space="0" w:color="auto"/>
      </w:divBdr>
    </w:div>
    <w:div w:id="1224953128">
      <w:bodyDiv w:val="1"/>
      <w:marLeft w:val="0"/>
      <w:marRight w:val="0"/>
      <w:marTop w:val="0"/>
      <w:marBottom w:val="0"/>
      <w:divBdr>
        <w:top w:val="none" w:sz="0" w:space="0" w:color="auto"/>
        <w:left w:val="none" w:sz="0" w:space="0" w:color="auto"/>
        <w:bottom w:val="none" w:sz="0" w:space="0" w:color="auto"/>
        <w:right w:val="none" w:sz="0" w:space="0" w:color="auto"/>
      </w:divBdr>
    </w:div>
    <w:div w:id="1343513122">
      <w:bodyDiv w:val="1"/>
      <w:marLeft w:val="0"/>
      <w:marRight w:val="0"/>
      <w:marTop w:val="0"/>
      <w:marBottom w:val="0"/>
      <w:divBdr>
        <w:top w:val="none" w:sz="0" w:space="0" w:color="auto"/>
        <w:left w:val="none" w:sz="0" w:space="0" w:color="auto"/>
        <w:bottom w:val="none" w:sz="0" w:space="0" w:color="auto"/>
        <w:right w:val="none" w:sz="0" w:space="0" w:color="auto"/>
      </w:divBdr>
    </w:div>
    <w:div w:id="1389232369">
      <w:bodyDiv w:val="1"/>
      <w:marLeft w:val="0"/>
      <w:marRight w:val="0"/>
      <w:marTop w:val="0"/>
      <w:marBottom w:val="0"/>
      <w:divBdr>
        <w:top w:val="none" w:sz="0" w:space="0" w:color="auto"/>
        <w:left w:val="none" w:sz="0" w:space="0" w:color="auto"/>
        <w:bottom w:val="none" w:sz="0" w:space="0" w:color="auto"/>
        <w:right w:val="none" w:sz="0" w:space="0" w:color="auto"/>
      </w:divBdr>
    </w:div>
    <w:div w:id="1476144159">
      <w:bodyDiv w:val="1"/>
      <w:marLeft w:val="0"/>
      <w:marRight w:val="0"/>
      <w:marTop w:val="0"/>
      <w:marBottom w:val="0"/>
      <w:divBdr>
        <w:top w:val="none" w:sz="0" w:space="0" w:color="auto"/>
        <w:left w:val="none" w:sz="0" w:space="0" w:color="auto"/>
        <w:bottom w:val="none" w:sz="0" w:space="0" w:color="auto"/>
        <w:right w:val="none" w:sz="0" w:space="0" w:color="auto"/>
      </w:divBdr>
    </w:div>
    <w:div w:id="1510951975">
      <w:bodyDiv w:val="1"/>
      <w:marLeft w:val="0"/>
      <w:marRight w:val="0"/>
      <w:marTop w:val="0"/>
      <w:marBottom w:val="0"/>
      <w:divBdr>
        <w:top w:val="none" w:sz="0" w:space="0" w:color="auto"/>
        <w:left w:val="none" w:sz="0" w:space="0" w:color="auto"/>
        <w:bottom w:val="none" w:sz="0" w:space="0" w:color="auto"/>
        <w:right w:val="none" w:sz="0" w:space="0" w:color="auto"/>
      </w:divBdr>
    </w:div>
    <w:div w:id="1548176083">
      <w:bodyDiv w:val="1"/>
      <w:marLeft w:val="0"/>
      <w:marRight w:val="0"/>
      <w:marTop w:val="0"/>
      <w:marBottom w:val="0"/>
      <w:divBdr>
        <w:top w:val="none" w:sz="0" w:space="0" w:color="auto"/>
        <w:left w:val="none" w:sz="0" w:space="0" w:color="auto"/>
        <w:bottom w:val="none" w:sz="0" w:space="0" w:color="auto"/>
        <w:right w:val="none" w:sz="0" w:space="0" w:color="auto"/>
      </w:divBdr>
    </w:div>
    <w:div w:id="1631283221">
      <w:bodyDiv w:val="1"/>
      <w:marLeft w:val="0"/>
      <w:marRight w:val="0"/>
      <w:marTop w:val="0"/>
      <w:marBottom w:val="0"/>
      <w:divBdr>
        <w:top w:val="none" w:sz="0" w:space="0" w:color="auto"/>
        <w:left w:val="none" w:sz="0" w:space="0" w:color="auto"/>
        <w:bottom w:val="none" w:sz="0" w:space="0" w:color="auto"/>
        <w:right w:val="none" w:sz="0" w:space="0" w:color="auto"/>
      </w:divBdr>
    </w:div>
    <w:div w:id="1675373987">
      <w:bodyDiv w:val="1"/>
      <w:marLeft w:val="0"/>
      <w:marRight w:val="0"/>
      <w:marTop w:val="0"/>
      <w:marBottom w:val="0"/>
      <w:divBdr>
        <w:top w:val="none" w:sz="0" w:space="0" w:color="auto"/>
        <w:left w:val="none" w:sz="0" w:space="0" w:color="auto"/>
        <w:bottom w:val="none" w:sz="0" w:space="0" w:color="auto"/>
        <w:right w:val="none" w:sz="0" w:space="0" w:color="auto"/>
      </w:divBdr>
    </w:div>
    <w:div w:id="1837183264">
      <w:bodyDiv w:val="1"/>
      <w:marLeft w:val="0"/>
      <w:marRight w:val="0"/>
      <w:marTop w:val="0"/>
      <w:marBottom w:val="0"/>
      <w:divBdr>
        <w:top w:val="none" w:sz="0" w:space="0" w:color="auto"/>
        <w:left w:val="none" w:sz="0" w:space="0" w:color="auto"/>
        <w:bottom w:val="none" w:sz="0" w:space="0" w:color="auto"/>
        <w:right w:val="none" w:sz="0" w:space="0" w:color="auto"/>
      </w:divBdr>
    </w:div>
    <w:div w:id="1932007022">
      <w:bodyDiv w:val="1"/>
      <w:marLeft w:val="0"/>
      <w:marRight w:val="0"/>
      <w:marTop w:val="0"/>
      <w:marBottom w:val="0"/>
      <w:divBdr>
        <w:top w:val="none" w:sz="0" w:space="0" w:color="auto"/>
        <w:left w:val="none" w:sz="0" w:space="0" w:color="auto"/>
        <w:bottom w:val="none" w:sz="0" w:space="0" w:color="auto"/>
        <w:right w:val="none" w:sz="0" w:space="0" w:color="auto"/>
      </w:divBdr>
    </w:div>
    <w:div w:id="1998266378">
      <w:bodyDiv w:val="1"/>
      <w:marLeft w:val="0"/>
      <w:marRight w:val="0"/>
      <w:marTop w:val="0"/>
      <w:marBottom w:val="0"/>
      <w:divBdr>
        <w:top w:val="none" w:sz="0" w:space="0" w:color="auto"/>
        <w:left w:val="none" w:sz="0" w:space="0" w:color="auto"/>
        <w:bottom w:val="none" w:sz="0" w:space="0" w:color="auto"/>
        <w:right w:val="none" w:sz="0" w:space="0" w:color="auto"/>
      </w:divBdr>
    </w:div>
    <w:div w:id="200809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24E6AC-384E-4952-B7F6-344F5B87D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260</Words>
  <Characters>1483</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dc:creator>
  <cp:lastModifiedBy>Account Microsoft</cp:lastModifiedBy>
  <cp:revision>5</cp:revision>
  <cp:lastPrinted>2024-02-02T10:44:00Z</cp:lastPrinted>
  <dcterms:created xsi:type="dcterms:W3CDTF">2025-07-22T12:59:00Z</dcterms:created>
  <dcterms:modified xsi:type="dcterms:W3CDTF">2025-07-22T13:15:00Z</dcterms:modified>
</cp:coreProperties>
</file>